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6CA3D88">
      <w:pPr>
        <w:pBdr/>
        <w:spacing/>
        <w:ind/>
        <w:rPr>
          <w:rFonts w:ascii="Gill Sans MT" w:hAnsi="Gill Sans MT" w:cs="Gill Sans MT"/>
          <w:b/>
          <w:bCs/>
        </w:rPr>
      </w:pPr>
      <w:r>
        <w:rPr>
          <w:rFonts w:ascii="Gill Sans MT" w:hAnsi="Gill Sans MT" w:eastAsia="Gill Sans MT" w:cs="Gill Sans MT"/>
          <w:b/>
          <w:bCs/>
        </w:rPr>
      </w:r>
      <w:r>
        <w:rPr>
          <w:rFonts w:ascii="Gill Sans MT" w:hAnsi="Gill Sans MT" w:eastAsia="Gill Sans MT" w:cs="Gill Sans MT"/>
          <w:b/>
          <w:bCs/>
        </w:rPr>
      </w:r>
    </w:p>
    <w:p w14:paraId="3DC59329">
      <w:pPr>
        <w:suppressLineNumbers w:val="false"/>
        <w:pBdr/>
        <w:spacing w:after="200" w:afterLines="0" w:before="0" w:beforeLines="0" w:line="324" w:lineRule="auto"/>
        <w:ind/>
        <w:rPr>
          <w:rFonts w:ascii="Gill Sans MT" w:hAnsi="Gill Sans MT" w:cs="Gill Sans MT"/>
          <w:b/>
          <w:bCs/>
          <w:sz w:val="26"/>
          <w:szCs w:val="26"/>
        </w:rPr>
      </w:pPr>
      <w:r>
        <w:rPr>
          <w:rFonts w:ascii="Gill Sans MT" w:hAnsi="Gill Sans MT" w:eastAsia="Gill Sans MT" w:cs="Gill Sans MT"/>
          <w:b/>
          <w:bCs/>
          <w:sz w:val="26"/>
          <w:szCs w:val="26"/>
          <w:highlight w:val="none"/>
        </w:rPr>
      </w:r>
      <w:r>
        <w:rPr>
          <w:rFonts w:ascii="Gill Sans MT" w:hAnsi="Gill Sans MT" w:eastAsia="Gill Sans MT" w:cs="Gill Sans MT"/>
          <w:b/>
          <w:bCs/>
          <w:sz w:val="26"/>
          <w:szCs w:val="26"/>
          <w:highlight w:val="none"/>
        </w:rPr>
        <w:t xml:space="preserve">Ton coup d’essai : comment vas-tu prolonger ce texte de François Rabelais en 35-45 mots ?</w:t>
      </w:r>
      <w:r>
        <w:rPr>
          <w:rFonts w:ascii="Gill Sans MT" w:hAnsi="Gill Sans MT" w:eastAsia="Gill Sans MT" w:cs="Gill Sans MT"/>
          <w:b/>
          <w:bCs/>
          <w:sz w:val="26"/>
          <w:szCs w:val="26"/>
          <w:highlight w:val="none"/>
        </w:rPr>
      </w:r>
      <w:r>
        <w:rPr>
          <w:rFonts w:ascii="Gill Sans MT" w:hAnsi="Gill Sans MT" w:eastAsia="Gill Sans MT" w:cs="Gill Sans MT"/>
          <w:b/>
          <w:bCs/>
          <w:sz w:val="26"/>
          <w:szCs w:val="26"/>
          <w:highlight w:val="none"/>
        </w:rPr>
      </w:r>
      <w:r>
        <w:rPr>
          <w:rFonts w:ascii="Gill Sans MT" w:hAnsi="Gill Sans MT" w:eastAsia="Gill Sans MT" w:cs="Gill Sans MT"/>
          <w:sz w:val="26"/>
          <w:szCs w:val="26"/>
          <w:highlight w:val="none"/>
        </w:rPr>
      </w:r>
      <w:r>
        <w:rPr>
          <w:rFonts w:ascii="Gill Sans MT" w:hAnsi="Gill Sans MT" w:eastAsia="Gill Sans MT" w:cs="Gill Sans MT"/>
          <w:sz w:val="26"/>
          <w:szCs w:val="26"/>
          <w:highlight w:val="none"/>
        </w:rPr>
      </w:r>
      <w:r>
        <w:rPr>
          <w:rFonts w:ascii="Gill Sans MT" w:hAnsi="Gill Sans MT" w:eastAsia="Gill Sans MT" w:cs="Gill Sans MT"/>
          <w:sz w:val="26"/>
          <w:szCs w:val="26"/>
          <w:highlight w:val="none"/>
        </w:rPr>
      </w:r>
      <w:r>
        <w:rPr>
          <w:rFonts w:ascii="Gill Sans MT" w:hAnsi="Gill Sans MT" w:cs="Gill Sans MT"/>
          <w:b/>
          <w:bCs/>
          <w:sz w:val="26"/>
          <w:szCs w:val="26"/>
        </w:rPr>
      </w:r>
    </w:p>
    <w:p w14:paraId="04FA3B15">
      <w:pPr>
        <w:suppressLineNumbers w:val="false"/>
        <w:pBdr/>
        <w:spacing w:after="200" w:before="0" w:line="324" w:lineRule="auto"/>
        <w:ind/>
        <w:rPr>
          <w:rFonts w:ascii="Gill Sans MT" w:hAnsi="Gill Sans MT" w:eastAsia="Gill Sans MT" w:cs="Gill Sans MT"/>
          <w:sz w:val="26"/>
          <w:szCs w:val="26"/>
          <w:highlight w:val="none"/>
        </w:rPr>
      </w:pPr>
      <w:r>
        <w:rPr>
          <w:rFonts w:ascii="Gill Sans MT" w:hAnsi="Gill Sans MT" w:eastAsia="Gill Sans MT" w:cs="Gill Sans MT"/>
          <w:sz w:val="26"/>
          <w:szCs w:val="26"/>
        </w:rPr>
        <w:t xml:space="preserve">« Buveurs très illustres, et vous vérolés très précieux, car c’est à vous, non aux autres, que je dédie mes écrits, Alcibiade, dans un dialogue de Platon intitulé le Banquet, faisant l’éloge de son précepteur Socrate, sans conteste le prince des philosophes</w:t>
      </w:r>
      <w:r>
        <w:rPr>
          <w:rFonts w:ascii="Gill Sans MT" w:hAnsi="Gill Sans MT" w:eastAsia="Gill Sans MT" w:cs="Gill Sans MT"/>
          <w:sz w:val="26"/>
          <w:szCs w:val="26"/>
        </w:rPr>
        <w:t xml:space="preserve">, déclare entre autres choses qu’il est semblable aux silènes. Les Silènes étaient jadis de petites boites, comme celles que nous voyons à présent dans les boutiques des apothicaires, sur lesquelles étaient peintes des figures drôles et frivoles : harpies, </w:t>
      </w:r>
      <w:r>
        <w:rPr>
          <w:rFonts w:ascii="Gill Sans MT" w:hAnsi="Gill Sans MT" w:eastAsia="Gill Sans MT" w:cs="Gill Sans MT"/>
          <w:sz w:val="26"/>
          <w:szCs w:val="26"/>
        </w:rPr>
        <w:t xml:space="preserve">satyres, oisons bridés, lièvres cornus, canes batées, boucs volants, cerfs attelés, et autres figures contrefaites à plaisir pour inciter les gens à rire (comme le fut Silène, maître du Bacchus). Mais à l’intérieur on conservait les drogues fines, comme le </w:t>
      </w:r>
      <w:r>
        <w:rPr>
          <w:rFonts w:ascii="Gill Sans MT" w:hAnsi="Gill Sans MT" w:eastAsia="Gill Sans MT" w:cs="Gill Sans MT"/>
          <w:sz w:val="26"/>
          <w:szCs w:val="26"/>
        </w:rPr>
        <w:t xml:space="preserve">baume, l’ambre gris, l’amome, la civette, les pierreries et autres choses de prix. Alcibiade disait que Socrate leur était semblable, parce qu’à le voir du dehors et à l’évaluer par l’aspect extérieur, vous n’en auriez pas donné une pelure l’oignon, tant il</w:t>
      </w:r>
      <w:r>
        <w:rPr>
          <w:rFonts w:ascii="Gill Sans MT" w:hAnsi="Gill Sans MT" w:eastAsia="Gill Sans MT" w:cs="Gill Sans MT"/>
          <w:sz w:val="26"/>
          <w:szCs w:val="26"/>
        </w:rPr>
        <w:t xml:space="preserve"> était laid de corps et d’un maintien ridicule, le nez pointu, le regard d’un taureau, le visage d’un fou, le comportement simple, les vêtements d’un paysan, de condition modeste, malheureux avec les femmes, inapte à toute fonction dans l’état ; et toujours</w:t>
      </w:r>
      <w:r>
        <w:rPr>
          <w:rFonts w:ascii="Gill Sans MT" w:hAnsi="Gill Sans MT" w:eastAsia="Gill Sans MT" w:cs="Gill Sans MT"/>
          <w:sz w:val="26"/>
          <w:szCs w:val="26"/>
        </w:rPr>
        <w:t xml:space="preserve"> riant, trinquant avec chacun, toujours se moquant, toujours cachant son divin savoir. Mais en ouvrant cette boite, vous y auriez trouvé une céleste et inappréciable drogue : une intelligence plus qu’humaine, une force d’âme merveilleuse, un courage invinci</w:t>
      </w:r>
      <w:r>
        <w:rPr>
          <w:rFonts w:ascii="Gill Sans MT" w:hAnsi="Gill Sans MT" w:eastAsia="Gill Sans MT" w:cs="Gill Sans MT"/>
          <w:sz w:val="26"/>
          <w:szCs w:val="26"/>
        </w:rPr>
        <w:t xml:space="preserve">ble, une sobriété sans égale, une égalité d’âme sans faille, une assurance parfaite, un détachement incroyable à l’égard de tout ce pour quoi les humains veillent, courent, travaillent, naviguent et bataillent.</w:t>
      </w:r>
      <w:r>
        <w:rPr>
          <w:rFonts w:ascii="Gill Sans MT" w:hAnsi="Gill Sans MT" w:eastAsia="Gill Sans MT" w:cs="Gill Sans MT"/>
          <w:sz w:val="26"/>
          <w:szCs w:val="26"/>
        </w:rPr>
      </w:r>
      <w:r>
        <w:rPr>
          <w:rFonts w:ascii="Gill Sans MT" w:hAnsi="Gill Sans MT" w:eastAsia="Gill Sans MT" w:cs="Gill Sans MT"/>
          <w:sz w:val="26"/>
          <w:szCs w:val="26"/>
        </w:rPr>
      </w:r>
      <w:r>
        <w:rPr>
          <w:rFonts w:ascii="Gill Sans MT" w:hAnsi="Gill Sans MT" w:eastAsia="Gill Sans MT" w:cs="Gill Sans MT"/>
          <w:sz w:val="26"/>
          <w:szCs w:val="26"/>
        </w:rPr>
      </w:r>
      <w:r>
        <w:rPr>
          <w:rFonts w:ascii="Gill Sans MT" w:hAnsi="Gill Sans MT" w:eastAsia="Gill Sans MT" w:cs="Gill Sans MT"/>
          <w:sz w:val="26"/>
          <w:szCs w:val="26"/>
          <w:highlight w:val="none"/>
        </w:rPr>
      </w:r>
    </w:p>
    <w:p w14:paraId="590A7A74">
      <w:pPr>
        <w:suppressLineNumbers w:val="false"/>
        <w:pBdr/>
        <w:spacing w:after="200" w:before="0" w:line="324" w:lineRule="auto"/>
        <w:ind/>
        <w:rPr>
          <w:rFonts w:ascii="Gill Sans MT" w:hAnsi="Gill Sans MT" w:cs="Gill Sans MT"/>
          <w:sz w:val="26"/>
          <w:szCs w:val="26"/>
        </w:rPr>
      </w:pPr>
      <w:r>
        <w:rPr>
          <w:rFonts w:ascii="Gill Sans MT" w:hAnsi="Gill Sans MT" w:eastAsia="Gill Sans MT" w:cs="Gill Sans MT"/>
          <w:sz w:val="26"/>
          <w:szCs w:val="26"/>
        </w:rPr>
        <w:t xml:space="preserve">A quoi tend, à votre avis, ce prélude et coup d’essai ? »</w:t>
      </w:r>
      <w:r>
        <w:rPr>
          <w:rFonts w:ascii="Gill Sans MT" w:hAnsi="Gill Sans MT" w:eastAsia="Gill Sans MT" w:cs="Gill Sans MT"/>
          <w:sz w:val="26"/>
          <w:szCs w:val="26"/>
        </w:rPr>
      </w:r>
      <w:r>
        <w:rPr>
          <w:rFonts w:ascii="Gill Sans MT" w:hAnsi="Gill Sans MT" w:eastAsia="Gill Sans MT" w:cs="Gill Sans MT"/>
        </w:rPr>
      </w:r>
      <w:r>
        <w:rPr>
          <w:rFonts w:ascii="Gill Sans MT" w:hAnsi="Gill Sans MT" w:eastAsia="Gill Sans MT" w:cs="Gill Sans MT"/>
        </w:rPr>
      </w:r>
      <w:r>
        <w:rPr>
          <w:rFonts w:ascii="Gill Sans MT" w:hAnsi="Gill Sans MT" w:cs="Gill Sans MT"/>
          <w:sz w:val="26"/>
          <w:szCs w:val="26"/>
        </w:rPr>
      </w:r>
    </w:p>
    <w:p w14:paraId="7806D860">
      <w:pPr>
        <w:pBdr/>
        <w:spacing/>
        <w:ind/>
        <w:jc w:val="right"/>
        <w:rPr>
          <w:rFonts w:ascii="Gill Sans MT" w:hAnsi="Gill Sans MT" w:cs="Gill Sans MT"/>
        </w:rPr>
      </w:pPr>
      <w:r>
        <w:rPr>
          <w:rFonts w:ascii="Gill Sans MT" w:hAnsi="Gill Sans MT" w:eastAsia="Gill Sans MT" w:cs="Gill Sans MT"/>
        </w:rPr>
        <w:t xml:space="preserve">François Rabelais, Gargantua (1534), Prologue</w:t>
      </w:r>
      <w:r>
        <w:rPr>
          <w:rFonts w:ascii="Gill Sans MT" w:hAnsi="Gill Sans MT" w:eastAsia="Gill Sans MT" w:cs="Gill Sans MT"/>
        </w:rPr>
      </w:r>
    </w:p>
    <w:p w14:paraId="3D8942A9">
      <w:pPr>
        <w:pBdr/>
        <w:spacing/>
        <w:ind/>
        <w:rPr>
          <w:rFonts w:ascii="Gill Sans MT" w:hAnsi="Gill Sans MT" w:cs="Gill Sans MT"/>
        </w:rPr>
      </w:pPr>
      <w:r>
        <w:rPr>
          <w:rFonts w:ascii="Gill Sans MT" w:hAnsi="Gill Sans MT" w:eastAsia="Gill Sans MT" w:cs="Gill Sans MT"/>
        </w:rPr>
      </w:r>
      <w:r>
        <w:rPr>
          <w:rFonts w:ascii="Gill Sans MT" w:hAnsi="Gill Sans MT" w:eastAsia="Gill Sans MT" w:cs="Gill Sans MT"/>
        </w:rPr>
      </w:r>
    </w:p>
    <w:p w14:paraId="786DB07B">
      <w:pPr>
        <w:suppressLineNumbers w:val="false"/>
        <w:pBdr/>
        <w:spacing w:after="200" w:before="0" w:line="324" w:lineRule="auto"/>
        <w:ind w:right="851" w:firstLine="0" w:left="850"/>
        <w:rPr>
          <w:rFonts w:ascii="Gill Sans MT" w:hAnsi="Gill Sans MT" w:cs="Gill Sans MT"/>
          <w:sz w:val="24"/>
          <w:szCs w:val="24"/>
        </w:rPr>
      </w:pPr>
      <w:r>
        <w:rPr>
          <w:rFonts w:ascii="Gill Sans MT" w:hAnsi="Gill Sans MT" w:eastAsia="Gill Sans MT" w:cs="Gill Sans MT"/>
          <w:i/>
          <w:iCs/>
          <w:sz w:val="24"/>
          <w:szCs w:val="24"/>
        </w:rPr>
        <w:t xml:space="preserve">Coup d’essai</w:t>
      </w:r>
      <w:r>
        <w:rPr>
          <w:rFonts w:ascii="Gill Sans MT" w:hAnsi="Gill Sans MT" w:eastAsia="Gill Sans MT" w:cs="Gill Sans MT"/>
          <w:sz w:val="24"/>
          <w:szCs w:val="24"/>
        </w:rPr>
        <w:t xml:space="preserve"> : la première action, le premier ouvrage par lequel on donne des marques de ce qu’on est capable de faire. (Dictionnaire de l’Académie Française)</w:t>
      </w:r>
      <w:r>
        <w:rPr>
          <w:rFonts w:ascii="Gill Sans MT" w:hAnsi="Gill Sans MT" w:eastAsia="Gill Sans MT" w:cs="Gill Sans MT"/>
          <w:sz w:val="24"/>
          <w:szCs w:val="24"/>
        </w:rPr>
      </w:r>
      <w:r>
        <w:rPr>
          <w:rFonts w:ascii="Gill Sans MT" w:hAnsi="Gill Sans MT" w:cs="Gill Sans MT"/>
          <w:sz w:val="24"/>
          <w:szCs w:val="24"/>
        </w:rPr>
      </w:r>
    </w:p>
    <w:p>
      <w:pPr>
        <w:suppressLineNumbers w:val="false"/>
        <w:pBdr/>
        <w:spacing w:after="200" w:before="0" w:line="324" w:lineRule="auto"/>
        <w:ind w:right="851" w:firstLine="0" w:left="850"/>
        <w:rPr>
          <w:rFonts w:ascii="Gill Sans MT" w:hAnsi="Gill Sans MT" w:cs="Gill Sans MT"/>
          <w:sz w:val="24"/>
          <w:szCs w:val="24"/>
        </w:rPr>
      </w:pPr>
      <w:r>
        <w:rPr>
          <w:rFonts w:ascii="Gill Sans MT" w:hAnsi="Gill Sans MT" w:eastAsia="Gill Sans MT" w:cs="Gill Sans MT"/>
          <w:sz w:val="24"/>
          <w:szCs w:val="24"/>
        </w:rPr>
        <w:t xml:space="preserve">Dans le milieu corporatif médiéval, pour devenir « maître » dans sa corporation (charpentier, forgeron, boulanger), un apprenti devait réaliser un ouvrage complexe appelé le « chef-d’œuvre ». Le « coup d’essai » désignait la toute première tâche ou pièce of</w:t>
      </w:r>
      <w:r>
        <w:rPr>
          <w:rFonts w:ascii="Gill Sans MT" w:hAnsi="Gill Sans MT" w:eastAsia="Gill Sans MT" w:cs="Gill Sans MT"/>
          <w:sz w:val="24"/>
          <w:szCs w:val="24"/>
        </w:rPr>
        <w:t xml:space="preserve">ficielle par laquelle l’apprenti démontrait aux jurés sa capacité technique à entreprendre ce chef-d’œuvre.</w:t>
      </w:r>
      <w:r>
        <w:rPr>
          <w:rFonts w:ascii="Gill Sans MT" w:hAnsi="Gill Sans MT" w:eastAsia="Gill Sans MT" w:cs="Gill Sans MT"/>
          <w:sz w:val="24"/>
          <w:szCs w:val="24"/>
        </w:rPr>
      </w:r>
      <w:r>
        <w:rPr>
          <w:rFonts w:ascii="Gill Sans MT" w:hAnsi="Gill Sans MT" w:eastAsia="Gill Sans MT" w:cs="Gill Sans MT"/>
          <w:sz w:val="24"/>
          <w:szCs w:val="24"/>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2026-08-23T07:04:11Z</dcterms:modified>
</cp:coreProperties>
</file>