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D4F6BD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300" w:before="0"/>
        <w:ind w:right="0" w:firstLine="0" w:left="0"/>
        <w:jc w:val="center"/>
        <w:rPr>
          <w:rFonts w:ascii="Gill Sans MT" w:hAnsi="Gill Sans MT" w:cs="Gill Sans MT"/>
          <w:b/>
          <w:bCs/>
          <w:color w:val="555555"/>
          <w:sz w:val="32"/>
          <w:szCs w:val="32"/>
          <w:highlight w:val="none"/>
        </w:rPr>
      </w:pPr>
      <w:r>
        <w:rPr>
          <w:rFonts w:ascii="Gill Sans MT" w:hAnsi="Gill Sans MT" w:eastAsia="Gill Sans MT" w:cs="Gill Sans MT"/>
          <w:b/>
          <w:bCs/>
          <w:color w:val="555555"/>
          <w:sz w:val="32"/>
          <w:szCs w:val="28"/>
        </w:rPr>
      </w:r>
      <w:r>
        <w:rPr>
          <w:rFonts w:ascii="Gill Sans MT" w:hAnsi="Gill Sans MT" w:eastAsia="Gill Sans MT" w:cs="Gill Sans MT"/>
          <w:b/>
          <w:bCs/>
          <w:color w:val="555555"/>
          <w:sz w:val="32"/>
          <w:szCs w:val="28"/>
        </w:rPr>
        <w:t xml:space="preserve">Oeuvres d’art et aura à l’heure de leur reproduction</w:t>
      </w:r>
      <w:r>
        <w:rPr>
          <w:rFonts w:ascii="Gill Sans MT" w:hAnsi="Gill Sans MT" w:cs="Gill Sans MT"/>
          <w:b/>
          <w:bCs/>
          <w:color w:val="555555"/>
          <w:sz w:val="32"/>
          <w:szCs w:val="32"/>
          <w:highlight w:val="none"/>
        </w:rPr>
      </w:r>
      <w:r>
        <w:rPr>
          <w:rFonts w:ascii="Gill Sans MT" w:hAnsi="Gill Sans MT" w:cs="Gill Sans MT"/>
          <w:b/>
          <w:bCs/>
          <w:color w:val="555555"/>
          <w:sz w:val="32"/>
          <w:szCs w:val="32"/>
          <w:highlight w:val="none"/>
        </w:rPr>
      </w:r>
    </w:p>
    <w:p w14:paraId="7895B86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300" w:before="0"/>
        <w:ind w:right="0" w:firstLine="0" w:left="0"/>
        <w:jc w:val="center"/>
        <w:rPr>
          <w:rFonts w:ascii="Gill Sans MT" w:hAnsi="Gill Sans MT" w:cs="Gill Sans MT"/>
          <w:b w:val="0"/>
          <w:bCs w:val="0"/>
          <w:sz w:val="26"/>
          <w:szCs w:val="26"/>
        </w:rPr>
      </w:pPr>
      <w:r>
        <w:rPr>
          <w:rFonts w:ascii="Gill Sans MT" w:hAnsi="Gill Sans MT" w:eastAsia="Gill Sans MT" w:cs="Gill Sans MT"/>
          <w:b w:val="0"/>
          <w:bCs w:val="0"/>
          <w:color w:val="555555"/>
          <w:sz w:val="26"/>
          <w:highlight w:val="none"/>
        </w:rPr>
        <w:t xml:space="preserve">Ceci n’est pas la Joconde de Léonard De Vinci</w:t>
      </w:r>
      <w:r>
        <w:rPr>
          <w:rFonts w:ascii="Gill Sans MT" w:hAnsi="Gill Sans MT" w:cs="Gill Sans MT"/>
          <w:b w:val="0"/>
          <w:bCs w:val="0"/>
          <w:sz w:val="26"/>
          <w:szCs w:val="26"/>
        </w:rPr>
      </w:r>
      <w:r>
        <w:rPr>
          <w:rFonts w:ascii="Gill Sans MT" w:hAnsi="Gill Sans MT" w:cs="Gill Sans MT"/>
          <w:b w:val="0"/>
          <w:bCs w:val="0"/>
          <w:sz w:val="26"/>
          <w:szCs w:val="26"/>
        </w:rPr>
      </w:r>
    </w:p>
    <w:p w14:paraId="79C884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300" w:before="0"/>
        <w:ind w:right="0" w:firstLine="0" w:left="0"/>
        <w:jc w:val="center"/>
        <w:rPr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62314" cy="2410427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586207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1562312" cy="24104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3.02pt;height:189.8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/>
    </w:p>
    <w:p w14:paraId="3494DDC1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sz w:val="24"/>
        </w:rPr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Walter Benjamin, philosophe allemand de la première moitié du vingtième siècle a proposé un concept inspirant pour aborder la question de la spécificité de l’œuvre d’art à l’époque de sa reproductibilité technique : le concept </w:t>
      </w:r>
      <w:r>
        <w:rPr>
          <w:rFonts w:ascii="Gill Sans MT" w:hAnsi="Gill Sans MT" w:eastAsia="Gill Sans MT" w:cs="Gill Sans MT"/>
          <w:i/>
          <w:color w:val="000000"/>
          <w:sz w:val="26"/>
          <w:szCs w:val="26"/>
        </w:rPr>
        <w:t xml:space="preserve">d</w:t>
      </w:r>
      <w:r>
        <w:rPr>
          <w:rFonts w:ascii="Gill Sans MT" w:hAnsi="Gill Sans MT" w:eastAsia="Gill Sans MT" w:cs="Gill Sans MT"/>
          <w:i/>
          <w:color w:val="000000"/>
          <w:sz w:val="26"/>
          <w:szCs w:val="26"/>
          <w:u w:val="single"/>
        </w:rPr>
        <w:t xml:space="preserve">’aura</w:t>
      </w:r>
      <w:r>
        <w:rPr>
          <w:rFonts w:ascii="Gill Sans MT" w:hAnsi="Gill Sans MT" w:eastAsia="Gill Sans MT" w:cs="Gill Sans MT"/>
          <w:i/>
          <w:color w:val="000000"/>
          <w:sz w:val="26"/>
          <w:szCs w:val="26"/>
        </w:rPr>
        <w:t xml:space="preserve">.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0FE4719B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L</w:t>
      </w:r>
      <w:r>
        <w:rPr>
          <w:rFonts w:ascii="Gill Sans MT" w:hAnsi="Gill Sans MT" w:eastAsia="Gill Sans MT" w:cs="Gill Sans MT"/>
          <w:color w:val="000000"/>
          <w:sz w:val="26"/>
          <w:szCs w:val="26"/>
          <w:u w:val="single"/>
        </w:rPr>
        <w:t xml:space="preserve">’aura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 est ce que dégage d’unique une œuvre d’art quand on la perçoit de façon concrète, telle qu’elle est, dans un lieu précis, à un moment précis, dans une histoire personnelle et collective.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697E5CA4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C’est ce que vous éprouvez quand vous assistez à une pièce de théâtre, quand vous êtes face à la Joconde en vrai (pour autant que ce soit possible vu ce qui la protège et la masse des touristes qui s’agglutine devant le tableau).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6A316219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Pour Benjamin, cette </w:t>
      </w:r>
      <w:r>
        <w:rPr>
          <w:rFonts w:ascii="Gill Sans MT" w:hAnsi="Gill Sans MT" w:eastAsia="Gill Sans MT" w:cs="Gill Sans MT"/>
          <w:i/>
          <w:color w:val="000000"/>
          <w:sz w:val="26"/>
          <w:szCs w:val="26"/>
        </w:rPr>
        <w:t xml:space="preserve">aura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 a disparu quand vous consommez une représentation de cette œuvre grâce à un moyen technique : une photo de la Joconde, un film de la pièce de théâtre.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33C20261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De la même manière, vous ne captez pas l’</w:t>
      </w:r>
      <w:r>
        <w:rPr>
          <w:rFonts w:ascii="Gill Sans MT" w:hAnsi="Gill Sans MT" w:eastAsia="Gill Sans MT" w:cs="Gill Sans MT"/>
          <w:i/>
          <w:color w:val="000000"/>
          <w:sz w:val="26"/>
          <w:szCs w:val="26"/>
        </w:rPr>
        <w:t xml:space="preserve">aura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 d’une personne quand vous regardez une photo que vous avez prise d’elle. La technique fait perdre le concret de ce « lointain » étrange que vous aviez éprouvé dans la rencontre réelle, ou que vous éprouveriez à l’avenir si vous rencontrez réellement la pe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rsonne ou l’œuvre d’art.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120DAE97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Ai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nsi, sur le tirage réel de Joël Peter Witkin, il y a, entre les deux ailes de l’ange, une sorte de pastille ou de petit bouchon d’environ 1 cm d’épaisseur, que l’on peut ôter. Sa réalité est gommée par la plate photo de l’œuvre que l’on trouve sur le web :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48E453D2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jc w:val="center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sz w:val="26"/>
          <w:szCs w:val="26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21590" cy="3775574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455201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4921589" cy="3775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87.53pt;height:297.29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3DE20E52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jc w:val="center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sz w:val="26"/>
          <w:szCs w:val="26"/>
        </w:rPr>
      </w:r>
      <w:hyperlink r:id="rId11" w:tooltip="http://www.artnet.com/artists/joel-peter-witkin" w:history="1">
        <w:r>
          <w:rPr>
            <w:rStyle w:val="893"/>
            <w:rFonts w:ascii="Gill Sans MT" w:hAnsi="Gill Sans MT" w:eastAsia="Gill Sans MT" w:cs="Gill Sans MT"/>
            <w:color w:val="0000ee"/>
            <w:sz w:val="26"/>
            <w:szCs w:val="26"/>
            <w:u w:val="single"/>
          </w:rPr>
          <w:t xml:space="preserve">Joel-Peter Witkin</w:t>
        </w:r>
      </w:hyperlink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 (American, born 1939), </w:t>
      </w:r>
      <w:r>
        <w:rPr>
          <w:rFonts w:ascii="Gill Sans MT" w:hAnsi="Gill Sans MT" w:eastAsia="Gill Sans MT" w:cs="Gill Sans MT"/>
          <w:i/>
          <w:color w:val="000000"/>
          <w:sz w:val="26"/>
          <w:szCs w:val="26"/>
        </w:rPr>
        <w:t xml:space="preserve">Apollo and Pilate’s Wife, Bogota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, 2008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4537E0F5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afterLines="0" w:before="0" w:beforeLines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</w: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  <w:t xml:space="preserve">U</w:t>
      </w: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  <w:t xml:space="preserve">n tirage était en vente 5000 euros dans une galerie bruxelloise. À noter la "post-binarité" de l’Apollon/Christ outragé qui porte un soutien-gorge. L'androgynie du Christ n'est pas un thème iconographique totalement absent de l'histoire des arts plastiques. Un Christ androg</w:t>
      </w: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  <w:t xml:space="preserve">yne est visible "en vrai" à Lessines à l'Hôpital Notre-Dame à la Rose : </w:t>
      </w:r>
      <w:hyperlink r:id="rId12" w:tooltip="https://www.gunaikeia.be/fr/actualites/l-rsquo-androgynie-du-christ.html" w:history="1">
        <w:r>
          <w:rPr>
            <w:rStyle w:val="893"/>
            <w:rFonts w:ascii="Gill Sans MT" w:hAnsi="Gill Sans MT" w:eastAsia="Gill Sans MT" w:cs="Gill Sans MT"/>
            <w:sz w:val="26"/>
            <w:szCs w:val="26"/>
            <w:highlight w:val="none"/>
          </w:rPr>
          <w:t xml:space="preserve">cliquez ici</w:t>
        </w:r>
      </w:hyperlink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  <w:t xml:space="preserve">. La masculinité de Jésus est en effet "dépassée" lors de la résurrection où l'être humain est recréé au-delà de sa condition sexuée d'après plus d'une sources tirées des Écr</w:t>
      </w: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  <w:t xml:space="preserve">itures.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2F117F17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eastAsia="Gill Sans MT" w:cs="Gill Sans MT"/>
          <w:b/>
          <w:bCs/>
          <w:color w:val="000000"/>
          <w:sz w:val="28"/>
          <w:szCs w:val="28"/>
          <w:highlight w:val="none"/>
        </w:rPr>
      </w:pPr>
      <w:r>
        <w:rPr>
          <w:rFonts w:ascii="Gill Sans MT" w:hAnsi="Gill Sans MT" w:eastAsia="Gill Sans MT" w:cs="Gill Sans MT"/>
          <w:b/>
          <w:bCs/>
          <w:color w:val="000000"/>
          <w:sz w:val="28"/>
          <w:szCs w:val="28"/>
        </w:rPr>
        <w:t xml:space="preserve">Une étude préparatoire de l’artiste :</w:t>
      </w:r>
      <w:r>
        <w:rPr>
          <w:rFonts w:ascii="Gill Sans MT" w:hAnsi="Gill Sans MT" w:eastAsia="Gill Sans MT" w:cs="Gill Sans MT"/>
          <w:b/>
          <w:bCs/>
          <w:color w:val="000000"/>
          <w:sz w:val="28"/>
          <w:szCs w:val="28"/>
          <w:highlight w:val="none"/>
        </w:rPr>
      </w:r>
      <w:r>
        <w:rPr>
          <w:rFonts w:ascii="Gill Sans MT" w:hAnsi="Gill Sans MT" w:eastAsia="Gill Sans MT" w:cs="Gill Sans MT"/>
          <w:b/>
          <w:bCs/>
          <w:color w:val="000000"/>
          <w:sz w:val="28"/>
          <w:szCs w:val="28"/>
          <w:highlight w:val="none"/>
        </w:rPr>
      </w:r>
    </w:p>
    <w:p w14:paraId="3B72231A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jc w:val="center"/>
        <w:rPr/>
      </w:pPr>
      <w:r>
        <w:rPr>
          <w:rFonts w:ascii="Gill Sans MT" w:hAnsi="Gill Sans MT" w:eastAsia="Gill Sans MT" w:cs="Gill Sans MT"/>
          <w:sz w:val="26"/>
          <w:szCs w:val="26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64447" cy="2429672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067880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3564447" cy="2429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280.67pt;height:191.31pt;mso-wrap-distance-left:0.00pt;mso-wrap-distance-top:0.00pt;mso-wrap-distance-right:0.00pt;mso-wrap-distance-bottom:0.00pt;z-index:1;" stroked="false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Gill Sans MT" w:hAnsi="Gill Sans MT" w:cs="Gill Sans MT"/>
          <w:sz w:val="26"/>
          <w:szCs w:val="26"/>
        </w:rPr>
      </w:r>
      <w:r/>
    </w:p>
    <w:p w14:paraId="21986196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jc w:val="left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Il est par ailleurs des genres artistiques qui n’existent pas ou peuvent ne pas exister comme original, qui n’existent ou peuvent n’exister que comme copies, des genres sans </w:t>
      </w:r>
      <w:r>
        <w:rPr>
          <w:rFonts w:ascii="Gill Sans MT" w:hAnsi="Gill Sans MT" w:eastAsia="Gill Sans MT" w:cs="Gill Sans MT"/>
          <w:i/>
          <w:color w:val="000000"/>
          <w:sz w:val="26"/>
          <w:szCs w:val="26"/>
        </w:rPr>
        <w:t xml:space="preserve">aura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 : la photographie, le cinéma. Particulièrement à l’heure de leur diffusion par les quasi seuls réseaux. 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À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 noter toutefois qu’un tirage photographique sur papier argentique préserve une forme d’aura puisque chaque tirage, à partir d’un négatif, diffère du </w:t>
      </w: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tirage précédent (c’est moins le cas pour un tirage jet d’encre, encore que le photographe peut s’astreindre à systématiquement modifier le fichier avant de l’imprimer et de le détruire, rendant ainsi unique le tirage).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16D5B870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afterLines="0" w:before="0" w:beforeLines="0" w:line="324" w:lineRule="auto"/>
        <w:ind w:right="0" w:firstLine="0" w:left="0"/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767441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018453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4" cy="47674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467.75pt;height:375.39pt;mso-wrap-distance-left:0.00pt;mso-wrap-distance-top:0.00pt;mso-wrap-distance-right:0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</w: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</w:r>
    </w:p>
    <w:p w14:paraId="0BE0C7ED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afterLines="0" w:before="0" w:beforeLines="0" w:line="324" w:lineRule="auto"/>
        <w:ind w:right="0" w:firstLine="0" w:left="0"/>
        <w:jc w:val="right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  <w:highlight w:val="none"/>
        </w:rPr>
        <w:t xml:space="preserve">Photographie personnelle. Paris, 12 avril 2012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0A676D77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 </w:t>
      </w:r>
      <w:r>
        <w:rPr>
          <w:rFonts w:ascii="Gill Sans MT" w:hAnsi="Gill Sans MT" w:eastAsia="Gill Sans MT" w:cs="Gill Sans MT"/>
          <w:b/>
          <w:color w:val="000000"/>
          <w:sz w:val="26"/>
          <w:szCs w:val="26"/>
        </w:rPr>
        <w:t xml:space="preserve">Liens</w: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3E986C5F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eastAsia="Gill Sans MT" w:cs="Gill Sans MT"/>
          <w:sz w:val="26"/>
          <w:szCs w:val="26"/>
        </w:rPr>
      </w:r>
      <w:hyperlink r:id="rId15" w:tooltip="http://www.franceculture.fr/emission-les-nouveaux-chemins-de-la-connaissance-walter-benjamin-24-l-oeuvre-d-art-a-l-epoque-de-s-0" w:history="1">
        <w:r>
          <w:rPr>
            <w:rStyle w:val="893"/>
            <w:rFonts w:ascii="Gill Sans MT" w:hAnsi="Gill Sans MT" w:eastAsia="Gill Sans MT" w:cs="Gill Sans MT"/>
            <w:color w:val="0000ee"/>
            <w:sz w:val="26"/>
            <w:szCs w:val="26"/>
            <w:u w:val="single"/>
          </w:rPr>
          <w:t xml:space="preserve">Une émission radiophonique (Les Nouveaux Chemins de la Connaissance – France Culture)  sur Walter Benjamin et son concept d’aura</w:t>
        </w:r>
      </w:hyperlink>
      <w:r>
        <w:rPr>
          <w:rFonts w:ascii="Gill Sans MT" w:hAnsi="Gill Sans MT" w:eastAsia="Gill Sans MT" w:cs="Gill Sans MT"/>
          <w:color w:val="000000"/>
          <w:sz w:val="26"/>
          <w:szCs w:val="26"/>
        </w:rPr>
        <w:t xml:space="preserve">  – </w:t>
      </w:r>
      <w:hyperlink r:id="rId16" w:tooltip="http://www.franceculture.fr/player/reecouter?play=4414723" w:history="1">
        <w:r>
          <w:rPr>
            <w:rStyle w:val="893"/>
            <w:rFonts w:ascii="Gill Sans MT" w:hAnsi="Gill Sans MT" w:eastAsia="Gill Sans MT" w:cs="Gill Sans MT"/>
            <w:color w:val="0000ee"/>
            <w:sz w:val="26"/>
            <w:szCs w:val="26"/>
            <w:u w:val="single"/>
          </w:rPr>
          <w:t xml:space="preserve">Ecoute directe</w:t>
        </w:r>
      </w:hyperlink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</w:rPr>
      </w:r>
    </w:p>
    <w:p w14:paraId="26831D06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  <w:highlight w:val="none"/>
        </w:rPr>
      </w:pPr>
      <w:r>
        <w:rPr>
          <w:rFonts w:ascii="Gill Sans MT" w:hAnsi="Gill Sans MT" w:eastAsia="Gill Sans MT" w:cs="Gill Sans MT"/>
          <w:sz w:val="26"/>
          <w:szCs w:val="26"/>
        </w:rPr>
      </w:r>
      <w:hyperlink r:id="rId17" w:tooltip="http://fr.wikipedia.org/wiki/Walter_Benjamin" w:history="1">
        <w:r>
          <w:rPr>
            <w:rStyle w:val="893"/>
            <w:rFonts w:ascii="Gill Sans MT" w:hAnsi="Gill Sans MT" w:eastAsia="Gill Sans MT" w:cs="Gill Sans MT"/>
            <w:color w:val="0000ee"/>
            <w:sz w:val="26"/>
            <w:szCs w:val="26"/>
            <w:u w:val="single"/>
          </w:rPr>
          <w:t xml:space="preserve">L’article de Wikipédia sur ce philosophe</w:t>
        </w:r>
      </w:hyperlink>
      <w:r>
        <w:rPr>
          <w:rFonts w:ascii="Gill Sans MT" w:hAnsi="Gill Sans MT" w:cs="Gill Sans MT"/>
          <w:sz w:val="26"/>
          <w:szCs w:val="26"/>
          <w:highlight w:val="none"/>
        </w:rPr>
      </w:r>
      <w:r>
        <w:rPr>
          <w:rFonts w:ascii="Gill Sans MT" w:hAnsi="Gill Sans MT" w:cs="Gill Sans MT"/>
          <w:sz w:val="26"/>
          <w:szCs w:val="26"/>
          <w:highlight w:val="none"/>
        </w:rPr>
      </w:r>
    </w:p>
    <w:p w14:paraId="74F54A50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  <w:highlight w:val="none"/>
        </w:rPr>
      </w:pPr>
      <w:r>
        <w:rPr>
          <w:rFonts w:ascii="Gill Sans MT" w:hAnsi="Gill Sans MT" w:cs="Gill Sans MT"/>
          <w:sz w:val="26"/>
          <w:szCs w:val="26"/>
          <w:highlight w:val="none"/>
        </w:rPr>
      </w:r>
      <w:r>
        <w:rPr>
          <w:rFonts w:ascii="Gill Sans MT" w:hAnsi="Gill Sans MT" w:cs="Gill Sans MT"/>
          <w:sz w:val="26"/>
          <w:szCs w:val="26"/>
          <w:highlight w:val="none"/>
        </w:rPr>
      </w:r>
      <w:r>
        <w:rPr>
          <w:rFonts w:ascii="Gill Sans MT" w:hAnsi="Gill Sans MT" w:cs="Gill Sans MT"/>
          <w:sz w:val="26"/>
          <w:szCs w:val="26"/>
          <w:highlight w:val="none"/>
        </w:rPr>
      </w:r>
    </w:p>
    <w:p w14:paraId="1413CF7F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b/>
          <w:bCs/>
          <w:sz w:val="28"/>
          <w:szCs w:val="28"/>
          <w:highlight w:val="none"/>
        </w:rPr>
      </w:pPr>
      <w:r>
        <w:rPr>
          <w:rFonts w:ascii="Gill Sans MT" w:hAnsi="Gill Sans MT" w:cs="Gill Sans MT"/>
          <w:b/>
          <w:bCs/>
          <w:sz w:val="28"/>
          <w:szCs w:val="28"/>
          <w:highlight w:val="none"/>
        </w:rPr>
        <w:t xml:space="preserve">Une citation de Joel-Peter Witkin</w:t>
      </w:r>
      <w:r>
        <w:rPr>
          <w:rFonts w:ascii="Gill Sans MT" w:hAnsi="Gill Sans MT" w:cs="Gill Sans MT"/>
          <w:b/>
          <w:bCs/>
          <w:sz w:val="28"/>
          <w:szCs w:val="28"/>
          <w:highlight w:val="none"/>
        </w:rPr>
        <w:t xml:space="preserve"> reprise dans une exposition au Musée de la Photographie de Charleroi</w:t>
      </w:r>
      <w:r>
        <w:rPr>
          <w:rFonts w:ascii="Gill Sans MT" w:hAnsi="Gill Sans MT" w:cs="Gill Sans MT"/>
          <w:b/>
          <w:bCs/>
          <w:sz w:val="28"/>
          <w:szCs w:val="28"/>
          <w:highlight w:val="none"/>
        </w:rPr>
      </w:r>
      <w:r>
        <w:rPr>
          <w:rFonts w:ascii="Gill Sans MT" w:hAnsi="Gill Sans MT" w:cs="Gill Sans MT"/>
          <w:b/>
          <w:bCs/>
          <w:sz w:val="28"/>
          <w:szCs w:val="28"/>
          <w:highlight w:val="none"/>
        </w:rPr>
      </w:r>
    </w:p>
    <w:p w14:paraId="0DC6E9EB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rPr>
          <w:rFonts w:ascii="Gill Sans MT" w:hAnsi="Gill Sans MT" w:cs="Gill Sans MT"/>
          <w:sz w:val="26"/>
          <w:szCs w:val="26"/>
          <w:highlight w:val="none"/>
        </w:rPr>
      </w:pPr>
      <w:r>
        <w:rPr>
          <w:rFonts w:ascii="Gill Sans MT" w:hAnsi="Gill Sans MT" w:cs="Gill Sans MT"/>
          <w:sz w:val="26"/>
          <w:szCs w:val="2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7217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491393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40424" cy="3772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67.75pt;height:297.02pt;mso-wrap-distance-left:0.00pt;mso-wrap-distance-top:0.00pt;mso-wrap-distance-right:0.00pt;mso-wrap-distance-bottom:0.00pt;z-index:1;" stroked="false">
                <v:imagedata r:id="rId18" o:title=""/>
                <o:lock v:ext="edit" rotation="t"/>
              </v:shape>
            </w:pict>
          </mc:Fallback>
        </mc:AlternateContent>
      </w:r>
      <w:r>
        <w:rPr>
          <w:rFonts w:ascii="Gill Sans MT" w:hAnsi="Gill Sans MT" w:cs="Gill Sans MT"/>
          <w:sz w:val="26"/>
          <w:szCs w:val="26"/>
        </w:rPr>
      </w:r>
      <w:r>
        <w:rPr>
          <w:rFonts w:ascii="Gill Sans MT" w:hAnsi="Gill Sans MT" w:cs="Gill Sans MT"/>
          <w:sz w:val="26"/>
          <w:szCs w:val="26"/>
          <w:highlight w:val="none"/>
        </w:rPr>
      </w:r>
    </w:p>
    <w:p w14:paraId="634C6FD6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0" w:line="324" w:lineRule="auto"/>
        <w:ind w:right="0" w:firstLine="0" w:left="0"/>
        <w:jc w:val="right"/>
        <w:rPr>
          <w:rFonts w:ascii="Gill Sans MT" w:hAnsi="Gill Sans MT" w:cs="Gill Sans MT"/>
          <w:sz w:val="26"/>
          <w:szCs w:val="26"/>
        </w:rPr>
      </w:pPr>
      <w:r>
        <w:rPr>
          <w:rFonts w:ascii="Gill Sans MT" w:hAnsi="Gill Sans MT" w:cs="Gill Sans MT"/>
          <w:sz w:val="26"/>
          <w:szCs w:val="26"/>
          <w:highlight w:val="none"/>
        </w:rPr>
      </w:r>
      <w:r>
        <w:t xml:space="preserve">Photographie personnelle. Mont-sur-Marchienne, Musée de la Photographie, 10 avril 2021</w:t>
      </w:r>
      <w:r>
        <w:rPr>
          <w:rFonts w:ascii="Gill Sans MT" w:hAnsi="Gill Sans MT" w:cs="Gill Sans MT"/>
          <w:sz w:val="26"/>
          <w:szCs w:val="26"/>
          <w:highlight w:val="none"/>
        </w:rPr>
      </w:r>
      <w:r>
        <w:rPr>
          <w:rFonts w:ascii="Gill Sans MT" w:hAnsi="Gill Sans MT" w:cs="Gill Sans MT"/>
          <w:sz w:val="26"/>
          <w:szCs w:val="26"/>
        </w:rPr>
      </w:r>
    </w:p>
    <w:sectPr>
      <w:footerReference w:type="default" r:id="rId8"/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5020201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AB82EE9">
    <w:pPr>
      <w:pStyle w:val="884"/>
      <w:pBdr/>
      <w:spacing/>
      <w:ind/>
      <w:jc w:val="right"/>
      <w:rPr>
        <w:rFonts w:ascii="Gill Sans MT" w:hAnsi="Gill Sans MT" w:eastAsia="Gill Sans MT" w:cs="Gill Sans MT"/>
        <w:sz w:val="24"/>
        <w:szCs w:val="24"/>
        <w:highlight w:val="none"/>
      </w:rPr>
    </w:pPr>
    <w:r>
      <w:rPr>
        <w:rFonts w:ascii="Gill Sans MT" w:hAnsi="Gill Sans MT" w:eastAsia="Gill Sans MT" w:cs="Gill Sans MT"/>
        <w:sz w:val="24"/>
        <w:szCs w:val="24"/>
      </w:rPr>
      <w:t xml:space="preserve">Œuvres d’art et aura à l’heure de leur reproduction</w:t>
    </w:r>
    <w:r>
      <w:rPr>
        <w:rFonts w:ascii="Gill Sans MT" w:hAnsi="Gill Sans MT" w:eastAsia="Gill Sans MT" w:cs="Gill Sans MT"/>
        <w:sz w:val="24"/>
        <w:szCs w:val="24"/>
      </w:rPr>
      <w:t xml:space="preserve"> - </w:t>
    </w:r>
    <w:fldSimple w:instr="PAGE \* MERGEFORMAT">
      <w:r>
        <w:rPr>
          <w:rFonts w:ascii="Gill Sans MT" w:hAnsi="Gill Sans MT" w:eastAsia="Gill Sans MT" w:cs="Gill Sans MT"/>
          <w:sz w:val="24"/>
          <w:szCs w:val="24"/>
        </w:rPr>
        <w:t xml:space="preserve">1</w:t>
      </w:r>
    </w:fldSimple>
    <w:r>
      <w:rPr>
        <w:rFonts w:ascii="Gill Sans MT" w:hAnsi="Gill Sans MT" w:eastAsia="Gill Sans MT" w:cs="Gill Sans MT"/>
        <w:sz w:val="24"/>
        <w:szCs w:val="24"/>
      </w:rPr>
    </w:r>
    <w:r>
      <w:rPr>
        <w:rFonts w:ascii="Gill Sans MT" w:hAnsi="Gill Sans MT" w:eastAsia="Gill Sans MT" w:cs="Gill Sans MT"/>
        <w:sz w:val="24"/>
        <w:szCs w:val="24"/>
        <w:highlight w:val="none"/>
      </w:rPr>
    </w:r>
    <w:r>
      <w:rPr>
        <w:rFonts w:ascii="Gill Sans MT" w:hAnsi="Gill Sans MT" w:eastAsia="Gill Sans MT" w:cs="Gill Sans MT"/>
        <w:sz w:val="24"/>
        <w:szCs w:val="24"/>
        <w:highlight w:val="none"/>
      </w:rPr>
    </w:r>
  </w:p>
  <w:p w14:paraId="17B0FACD">
    <w:pPr>
      <w:pStyle w:val="88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2">
    <w:name w:val="Table Grid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Table Grid Light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1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2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1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2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3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4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5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6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1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2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3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4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5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6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1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2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3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4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5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6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8">
    <w:name w:val="Heading 1"/>
    <w:basedOn w:val="907"/>
    <w:next w:val="907"/>
    <w:link w:val="85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9">
    <w:name w:val="Heading 2"/>
    <w:basedOn w:val="907"/>
    <w:next w:val="907"/>
    <w:link w:val="85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0">
    <w:name w:val="Heading 3"/>
    <w:basedOn w:val="907"/>
    <w:next w:val="907"/>
    <w:link w:val="86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1">
    <w:name w:val="Heading 4"/>
    <w:basedOn w:val="907"/>
    <w:next w:val="907"/>
    <w:link w:val="86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2">
    <w:name w:val="Heading 5"/>
    <w:basedOn w:val="907"/>
    <w:next w:val="907"/>
    <w:link w:val="86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3">
    <w:name w:val="Heading 6"/>
    <w:basedOn w:val="907"/>
    <w:next w:val="907"/>
    <w:link w:val="86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4">
    <w:name w:val="Heading 7"/>
    <w:basedOn w:val="907"/>
    <w:next w:val="907"/>
    <w:link w:val="86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5">
    <w:name w:val="Heading 8"/>
    <w:basedOn w:val="907"/>
    <w:next w:val="907"/>
    <w:link w:val="86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6">
    <w:name w:val="Heading 9"/>
    <w:basedOn w:val="907"/>
    <w:next w:val="907"/>
    <w:link w:val="86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7" w:default="1">
    <w:name w:val="Default Paragraph Font"/>
    <w:uiPriority w:val="1"/>
    <w:semiHidden/>
    <w:unhideWhenUsed/>
    <w:pPr>
      <w:pBdr/>
      <w:spacing/>
      <w:ind/>
    </w:pPr>
  </w:style>
  <w:style w:type="character" w:styleId="858">
    <w:name w:val="Heading 1 Char"/>
    <w:basedOn w:val="857"/>
    <w:link w:val="8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9">
    <w:name w:val="Heading 2 Char"/>
    <w:basedOn w:val="857"/>
    <w:link w:val="8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0">
    <w:name w:val="Heading 3 Char"/>
    <w:basedOn w:val="857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1">
    <w:name w:val="Heading 4 Char"/>
    <w:basedOn w:val="857"/>
    <w:link w:val="85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2">
    <w:name w:val="Heading 5 Char"/>
    <w:basedOn w:val="857"/>
    <w:link w:val="8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3">
    <w:name w:val="Heading 6 Char"/>
    <w:basedOn w:val="857"/>
    <w:link w:val="85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4">
    <w:name w:val="Heading 7 Char"/>
    <w:basedOn w:val="857"/>
    <w:link w:val="85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5">
    <w:name w:val="Heading 8 Char"/>
    <w:basedOn w:val="857"/>
    <w:link w:val="8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9 Char"/>
    <w:basedOn w:val="857"/>
    <w:link w:val="8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7">
    <w:name w:val="Title"/>
    <w:basedOn w:val="907"/>
    <w:next w:val="907"/>
    <w:link w:val="86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8">
    <w:name w:val="Title Char"/>
    <w:basedOn w:val="857"/>
    <w:link w:val="86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9">
    <w:name w:val="Subtitle"/>
    <w:basedOn w:val="907"/>
    <w:next w:val="907"/>
    <w:link w:val="87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0">
    <w:name w:val="Subtitle Char"/>
    <w:basedOn w:val="857"/>
    <w:link w:val="86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1">
    <w:name w:val="Quote"/>
    <w:basedOn w:val="907"/>
    <w:next w:val="907"/>
    <w:link w:val="87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2">
    <w:name w:val="Quote Char"/>
    <w:basedOn w:val="857"/>
    <w:link w:val="87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3">
    <w:name w:val="Intense Emphasis"/>
    <w:basedOn w:val="85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4">
    <w:name w:val="Intense Quote"/>
    <w:basedOn w:val="907"/>
    <w:next w:val="907"/>
    <w:link w:val="87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5">
    <w:name w:val="Intense Quote Char"/>
    <w:basedOn w:val="857"/>
    <w:link w:val="87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6">
    <w:name w:val="Intense Reference"/>
    <w:basedOn w:val="85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7">
    <w:name w:val="Subtle Emphasis"/>
    <w:basedOn w:val="85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8">
    <w:name w:val="Emphasis"/>
    <w:basedOn w:val="857"/>
    <w:uiPriority w:val="20"/>
    <w:qFormat/>
    <w:pPr>
      <w:pBdr/>
      <w:spacing/>
      <w:ind/>
    </w:pPr>
    <w:rPr>
      <w:i/>
      <w:iCs/>
    </w:rPr>
  </w:style>
  <w:style w:type="character" w:styleId="879">
    <w:name w:val="Strong"/>
    <w:basedOn w:val="857"/>
    <w:uiPriority w:val="22"/>
    <w:qFormat/>
    <w:pPr>
      <w:pBdr/>
      <w:spacing/>
      <w:ind/>
    </w:pPr>
    <w:rPr>
      <w:b/>
      <w:bCs/>
    </w:rPr>
  </w:style>
  <w:style w:type="character" w:styleId="880">
    <w:name w:val="Subtle Reference"/>
    <w:basedOn w:val="85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1">
    <w:name w:val="Book Title"/>
    <w:basedOn w:val="85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2">
    <w:name w:val="Header"/>
    <w:basedOn w:val="907"/>
    <w:link w:val="88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3">
    <w:name w:val="Header Char"/>
    <w:basedOn w:val="857"/>
    <w:link w:val="882"/>
    <w:uiPriority w:val="99"/>
    <w:pPr>
      <w:pBdr/>
      <w:spacing/>
      <w:ind/>
    </w:pPr>
  </w:style>
  <w:style w:type="paragraph" w:styleId="884">
    <w:name w:val="Footer"/>
    <w:basedOn w:val="907"/>
    <w:link w:val="88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5">
    <w:name w:val="Footer Char"/>
    <w:basedOn w:val="857"/>
    <w:link w:val="884"/>
    <w:uiPriority w:val="99"/>
    <w:pPr>
      <w:pBdr/>
      <w:spacing/>
      <w:ind/>
    </w:pPr>
  </w:style>
  <w:style w:type="paragraph" w:styleId="886">
    <w:name w:val="Caption"/>
    <w:basedOn w:val="907"/>
    <w:next w:val="90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7">
    <w:name w:val="footnote text"/>
    <w:basedOn w:val="907"/>
    <w:link w:val="8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8">
    <w:name w:val="Footnote Text Char"/>
    <w:basedOn w:val="857"/>
    <w:link w:val="887"/>
    <w:uiPriority w:val="99"/>
    <w:semiHidden/>
    <w:pPr>
      <w:pBdr/>
      <w:spacing/>
      <w:ind/>
    </w:pPr>
    <w:rPr>
      <w:sz w:val="20"/>
      <w:szCs w:val="20"/>
    </w:rPr>
  </w:style>
  <w:style w:type="character" w:styleId="889">
    <w:name w:val="footnote reference"/>
    <w:basedOn w:val="857"/>
    <w:uiPriority w:val="99"/>
    <w:semiHidden/>
    <w:unhideWhenUsed/>
    <w:pPr>
      <w:pBdr/>
      <w:spacing/>
      <w:ind/>
    </w:pPr>
    <w:rPr>
      <w:vertAlign w:val="superscript"/>
    </w:rPr>
  </w:style>
  <w:style w:type="paragraph" w:styleId="890">
    <w:name w:val="endnote text"/>
    <w:basedOn w:val="907"/>
    <w:link w:val="89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1">
    <w:name w:val="Endnote Text Char"/>
    <w:basedOn w:val="857"/>
    <w:link w:val="890"/>
    <w:uiPriority w:val="99"/>
    <w:semiHidden/>
    <w:pPr>
      <w:pBdr/>
      <w:spacing/>
      <w:ind/>
    </w:pPr>
    <w:rPr>
      <w:sz w:val="20"/>
      <w:szCs w:val="20"/>
    </w:rPr>
  </w:style>
  <w:style w:type="character" w:styleId="892">
    <w:name w:val="endnote reference"/>
    <w:basedOn w:val="857"/>
    <w:uiPriority w:val="99"/>
    <w:semiHidden/>
    <w:unhideWhenUsed/>
    <w:pPr>
      <w:pBdr/>
      <w:spacing/>
      <w:ind/>
    </w:pPr>
    <w:rPr>
      <w:vertAlign w:val="superscript"/>
    </w:rPr>
  </w:style>
  <w:style w:type="character" w:styleId="893">
    <w:name w:val="Hyperlink"/>
    <w:basedOn w:val="85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4">
    <w:name w:val="FollowedHyperlink"/>
    <w:basedOn w:val="85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5">
    <w:name w:val="toc 1"/>
    <w:basedOn w:val="907"/>
    <w:next w:val="907"/>
    <w:uiPriority w:val="39"/>
    <w:unhideWhenUsed/>
    <w:pPr>
      <w:pBdr/>
      <w:spacing w:after="100"/>
      <w:ind/>
    </w:pPr>
  </w:style>
  <w:style w:type="paragraph" w:styleId="896">
    <w:name w:val="toc 2"/>
    <w:basedOn w:val="907"/>
    <w:next w:val="907"/>
    <w:uiPriority w:val="39"/>
    <w:unhideWhenUsed/>
    <w:pPr>
      <w:pBdr/>
      <w:spacing w:after="100"/>
      <w:ind w:left="220"/>
    </w:pPr>
  </w:style>
  <w:style w:type="paragraph" w:styleId="897">
    <w:name w:val="toc 3"/>
    <w:basedOn w:val="907"/>
    <w:next w:val="907"/>
    <w:uiPriority w:val="39"/>
    <w:unhideWhenUsed/>
    <w:pPr>
      <w:pBdr/>
      <w:spacing w:after="100"/>
      <w:ind w:left="440"/>
    </w:pPr>
  </w:style>
  <w:style w:type="paragraph" w:styleId="898">
    <w:name w:val="toc 4"/>
    <w:basedOn w:val="907"/>
    <w:next w:val="907"/>
    <w:uiPriority w:val="39"/>
    <w:unhideWhenUsed/>
    <w:pPr>
      <w:pBdr/>
      <w:spacing w:after="100"/>
      <w:ind w:left="660"/>
    </w:pPr>
  </w:style>
  <w:style w:type="paragraph" w:styleId="899">
    <w:name w:val="toc 5"/>
    <w:basedOn w:val="907"/>
    <w:next w:val="907"/>
    <w:uiPriority w:val="39"/>
    <w:unhideWhenUsed/>
    <w:pPr>
      <w:pBdr/>
      <w:spacing w:after="100"/>
      <w:ind w:left="880"/>
    </w:pPr>
  </w:style>
  <w:style w:type="paragraph" w:styleId="900">
    <w:name w:val="toc 6"/>
    <w:basedOn w:val="907"/>
    <w:next w:val="907"/>
    <w:uiPriority w:val="39"/>
    <w:unhideWhenUsed/>
    <w:pPr>
      <w:pBdr/>
      <w:spacing w:after="100"/>
      <w:ind w:left="1100"/>
    </w:pPr>
  </w:style>
  <w:style w:type="paragraph" w:styleId="901">
    <w:name w:val="toc 7"/>
    <w:basedOn w:val="907"/>
    <w:next w:val="907"/>
    <w:uiPriority w:val="39"/>
    <w:unhideWhenUsed/>
    <w:pPr>
      <w:pBdr/>
      <w:spacing w:after="100"/>
      <w:ind w:left="1320"/>
    </w:pPr>
  </w:style>
  <w:style w:type="paragraph" w:styleId="902">
    <w:name w:val="toc 8"/>
    <w:basedOn w:val="907"/>
    <w:next w:val="907"/>
    <w:uiPriority w:val="39"/>
    <w:unhideWhenUsed/>
    <w:pPr>
      <w:pBdr/>
      <w:spacing w:after="100"/>
      <w:ind w:left="1540"/>
    </w:pPr>
  </w:style>
  <w:style w:type="paragraph" w:styleId="903">
    <w:name w:val="toc 9"/>
    <w:basedOn w:val="907"/>
    <w:next w:val="907"/>
    <w:uiPriority w:val="39"/>
    <w:unhideWhenUsed/>
    <w:pPr>
      <w:pBdr/>
      <w:spacing w:after="100"/>
      <w:ind w:left="1760"/>
    </w:pPr>
  </w:style>
  <w:style w:type="character" w:styleId="904">
    <w:name w:val="Placeholder Text"/>
    <w:basedOn w:val="857"/>
    <w:uiPriority w:val="99"/>
    <w:semiHidden/>
    <w:pPr>
      <w:pBdr/>
      <w:spacing/>
      <w:ind/>
    </w:pPr>
    <w:rPr>
      <w:color w:val="666666"/>
    </w:rPr>
  </w:style>
  <w:style w:type="paragraph" w:styleId="905">
    <w:name w:val="TOC Heading"/>
    <w:uiPriority w:val="39"/>
    <w:unhideWhenUsed/>
    <w:pPr>
      <w:pBdr/>
      <w:spacing/>
      <w:ind/>
    </w:pPr>
  </w:style>
  <w:style w:type="paragraph" w:styleId="906">
    <w:name w:val="table of figures"/>
    <w:basedOn w:val="907"/>
    <w:next w:val="907"/>
    <w:uiPriority w:val="99"/>
    <w:unhideWhenUsed/>
    <w:pPr>
      <w:pBdr/>
      <w:spacing w:after="0" w:afterAutospacing="0"/>
      <w:ind/>
    </w:pPr>
  </w:style>
  <w:style w:type="paragraph" w:styleId="907" w:default="1">
    <w:name w:val="Normal"/>
    <w:qFormat/>
    <w:pPr>
      <w:pBdr/>
      <w:spacing/>
      <w:ind/>
    </w:pPr>
  </w:style>
  <w:style w:type="table" w:styleId="90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9" w:default="1">
    <w:name w:val="No List"/>
    <w:uiPriority w:val="99"/>
    <w:semiHidden/>
    <w:unhideWhenUsed/>
    <w:pPr>
      <w:pBdr/>
      <w:spacing/>
      <w:ind/>
    </w:pPr>
  </w:style>
  <w:style w:type="paragraph" w:styleId="910">
    <w:name w:val="No Spacing"/>
    <w:basedOn w:val="907"/>
    <w:uiPriority w:val="1"/>
    <w:qFormat/>
    <w:pPr>
      <w:pBdr/>
      <w:spacing w:after="0" w:line="240" w:lineRule="auto"/>
      <w:ind/>
    </w:pPr>
  </w:style>
  <w:style w:type="paragraph" w:styleId="911">
    <w:name w:val="List Paragraph"/>
    <w:basedOn w:val="907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hyperlink" Target="http://www.artnet.com/artists/joel-peter-witkin" TargetMode="External"/><Relationship Id="rId12" Type="http://schemas.openxmlformats.org/officeDocument/2006/relationships/hyperlink" Target="https://www.gunaikeia.be/fr/actualites/l-rsquo-androgynie-du-christ.html" TargetMode="External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hyperlink" Target="http://www.franceculture.fr/emission-les-nouveaux-chemins-de-la-connaissance-walter-benjamin-24-l-oeuvre-d-art-a-l-epoque-de-s-0" TargetMode="External"/><Relationship Id="rId16" Type="http://schemas.openxmlformats.org/officeDocument/2006/relationships/hyperlink" Target="http://www.franceculture.fr/player/reecouter?play=4414723" TargetMode="External"/><Relationship Id="rId17" Type="http://schemas.openxmlformats.org/officeDocument/2006/relationships/hyperlink" Target="http://fr.wikipedia.org/wiki/Walter_Benjamin" TargetMode="External"/><Relationship Id="rId18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2026-09-27T16:38:57Z</dcterms:modified>
</cp:coreProperties>
</file>